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气动差压变送器的应用</w:t>
      </w:r>
    </w:p>
    <w:p>
      <w:r>
        <w:rPr>
          <w:rFonts w:ascii="宋体" w:hAnsi="宋体" w:eastAsia="宋体"/>
          <w:sz w:val="24"/>
        </w:rPr>
        <w:t>黄定韶编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气动差压变送器的应用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广东省石油化工局技术情报室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本书出售、求购地址：https://www.jiaokey.com/book/detail/13774639.html</w:t>
      </w:r>
    </w:p>
    <w:p>
      <w:r>
        <w:t>更多相关图书推荐：https://www.jiaokey.com</w:t>
      </w:r>
    </w:p>
    <w:p>
      <w:r>
        <w:t>黄定韶编 其他作品：https://www.jiaokey.com/tag/黄定韶编.html</w:t>
      </w:r>
    </w:p>
    <w:p>
      <w:r>
        <w:t>广东省石油化工局技术情报室 出版图书：https://www.jiaokey.com/tag/广东省石油化工局技术情报室.html</w:t>
      </w:r>
    </w:p>
    <w:p>
      <w:r>
        <w:t>关键词搜索：https://www.jiaokey.com/tag/气动差压变送器的应用.html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