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中国医学财务管理与法律</w:t>
      </w:r>
    </w:p>
    <w:p>
      <w:r>
        <w:rPr>
          <w:rFonts w:ascii="宋体" w:hAnsi="宋体" w:eastAsia="宋体"/>
          <w:sz w:val="24"/>
        </w:rPr>
        <w:t>黄健辉，石宝屏主编；郑雪倩主审；黄洁夫总主编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中国医学财务管理与法律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黄健辉，石宝屏主编；郑雪倩主审；黄洁夫总主编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本书出售、求购地址：https://www.jiaokey.com/book/detail/13773495.html</w:t>
      </w:r>
    </w:p>
    <w:p>
      <w:r>
        <w:t>更多相关图书推荐：https://www.jiaokey.com</w:t>
      </w:r>
    </w:p>
    <w:p>
      <w:r>
        <w:t>黄健辉，石宝屏主编；郑雪倩主审；黄洁夫总主编 其他作品：https://www.jiaokey.com/tag/黄健辉，石宝屏主编；郑雪倩主审；黄洁夫总主编.html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关键词搜索：https://www.jiaokey.com/tag/中国医学财务管理与法律.html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