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2012案例教程</w:t>
      </w:r>
    </w:p>
    <w:p>
      <w:r>
        <w:rPr>
          <w:rFonts w:ascii="宋体" w:hAnsi="宋体" w:eastAsia="宋体"/>
          <w:sz w:val="24"/>
        </w:rPr>
        <w:t>李涛组编；周彩根，陆天奕，赵志刚主编；黄志玲，游海英副主编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李涛组编；周彩根，陆天奕，赵志刚主编；黄志玲，游海英副主编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本书出售、求购地址：https://www.jiaokey.com/book/detail/13773220.html</w:t>
      </w:r>
    </w:p>
    <w:p>
      <w:r>
        <w:t>更多相关图书推荐：https://www.jiaokey.com</w:t>
      </w:r>
    </w:p>
    <w:p>
      <w:r>
        <w:t>李涛组编；周彩根，陆天奕，赵志刚主编；黄志玲，游海英副主编 其他作品：https://www.jiaokey.com/tag/李涛组编；周彩根，陆天奕，赵志刚主编；黄志玲，游海英副主编.html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 2012案例教程.html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