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移动的天空</w:t>
      </w:r>
    </w:p>
    <w:p>
      <w:r>
        <w:rPr>
          <w:rFonts w:ascii="宋体" w:hAnsi="宋体" w:eastAsia="宋体"/>
          <w:sz w:val="24"/>
        </w:rPr>
        <w:t>（意）马里奥·罗迪（LODI，M.）著；（意）西莫纳·玛拉扎尼（MULAZZANI，S.）绘；滕芸译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移动的天空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（意）马里奥·罗迪（LODI，M.）著；（意）西莫纳·玛拉扎尼（MULAZZANI，S.）绘；滕芸译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本书出售、求购地址：https://www.jiaokey.com/book/detail/13772455.html</w:t>
      </w:r>
    </w:p>
    <w:p>
      <w:r>
        <w:t>更多相关图书推荐：https://www.jiaokey.com</w:t>
      </w:r>
    </w:p>
    <w:p>
      <w:r>
        <w:t>（意）马里奥·罗迪（LODI，M.）著；（意）西莫纳·玛拉扎尼（MULAZZANI，S.）绘；滕芸译 其他作品：https://www.jiaokey.com/tag/（意）马里奥·罗迪（LODI，M.）著；（意）西莫纳·玛拉扎尼（MULAZZANI，S.）绘；滕芸译.html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移动的天空.html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