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魏晋南北朝之酒色财气</w:t>
      </w:r>
    </w:p>
    <w:p>
      <w:r>
        <w:rPr>
          <w:rFonts w:ascii="宋体" w:hAnsi="宋体" w:eastAsia="宋体"/>
          <w:sz w:val="24"/>
        </w:rPr>
        <w:t>林铮顗著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魏晋南北朝之酒色财气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林铮顗著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暖暖书屋文化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本书出售、求购地址：https://www.jiaokey.com/book/detail/13770233.html</w:t>
      </w:r>
    </w:p>
    <w:p>
      <w:r>
        <w:t>更多相关图书推荐：https://www.jiaokey.com</w:t>
      </w:r>
    </w:p>
    <w:p>
      <w:r>
        <w:t>林铮顗著 其他作品：https://www.jiaokey.com/tag/林铮顗著.html</w:t>
      </w:r>
    </w:p>
    <w:p>
      <w:r>
        <w:t>暖暖书屋文化 出版图书：https://www.jiaokey.com/tag/暖暖书屋文化.html</w:t>
      </w:r>
    </w:p>
    <w:p>
      <w:r>
        <w:t>关键词搜索：https://www.jiaokey.com/tag/魏晋南北朝之酒色财气.html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