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公民与政治权利国际公约  经济社会文化权利国际公约一般性意见</w:t>
      </w:r>
    </w:p>
    <w:p>
      <w:r>
        <w:rPr>
          <w:rFonts w:ascii="宋体" w:hAnsi="宋体" w:eastAsia="宋体"/>
          <w:sz w:val="24"/>
        </w:rPr>
        <w:t>法务部法制司编辑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公民与政治权利国际公约  经济社会文化权利国际公约一般性意见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法务部法制司编辑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本书出售、求购地址：https://www.jiaokey.com/book/detail/13770024.html</w:t>
      </w:r>
    </w:p>
    <w:p>
      <w:r>
        <w:t>更多相关图书推荐：https://www.jiaokey.com</w:t>
      </w:r>
    </w:p>
    <w:p>
      <w:r>
        <w:t>法务部法制司编辑 其他作品：https://www.jiaokey.com/tag/法务部法制司编辑.html</w:t>
      </w:r>
    </w:p>
    <w:p>
      <w:r>
        <w:t>法务部 出版图书：https://www.jiaokey.com/tag/法务部.html</w:t>
      </w:r>
    </w:p>
    <w:p>
      <w:r>
        <w:t>关键词搜索：https://www.jiaokey.com/tag/公民与政治权利国际公约  经济社会文化权利国际公约一般性意见.html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