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地上权、不动产役权、抵押权之物权法律解析暨登记实务</w:t>
      </w:r>
    </w:p>
    <w:p>
      <w:r>
        <w:rPr>
          <w:rFonts w:ascii="宋体" w:hAnsi="宋体" w:eastAsia="宋体"/>
          <w:sz w:val="24"/>
        </w:rPr>
        <w:t>黄志伟编著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地上权、不动产役权、抵押权之物权法律解析暨登记实务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本书出售、求购地址：https://www.jiaokey.com/book/detail/13769855.html</w:t>
      </w:r>
    </w:p>
    <w:p>
      <w:r>
        <w:t>更多相关图书推荐：https://www.jiaokey.com</w:t>
      </w:r>
    </w:p>
    <w:p>
      <w:r>
        <w:t>黄志伟编著 其他作品：https://www.jiaokey.com/tag/黄志伟编著.html</w:t>
      </w:r>
    </w:p>
    <w:p>
      <w:r>
        <w:t>五南 出版图书：https://www.jiaokey.com/tag/五南.html</w:t>
      </w:r>
    </w:p>
    <w:p>
      <w:r>
        <w:t>关键词搜索：https://www.jiaokey.com/tag/地上权、不动产役权、抵押权之物权法律解析暨登记实务.html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