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94中国税制改革与实施要览</w:t>
      </w:r>
    </w:p>
    <w:p>
      <w:r>
        <w:rPr>
          <w:rFonts w:ascii="宋体" w:hAnsi="宋体" w:eastAsia="宋体"/>
          <w:sz w:val="24"/>
        </w:rPr>
        <w:t>黄桂祥，于海峰编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94中国税制改革与实施要览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黄桂祥，于海峰编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广东税务学会；广东国际税务咨询公司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本书出售、求购地址：https://www.jiaokey.com/book/detail/13768725.html</w:t>
      </w:r>
    </w:p>
    <w:p>
      <w:r>
        <w:t>更多相关图书推荐：https://www.jiaokey.com</w:t>
      </w:r>
    </w:p>
    <w:p>
      <w:r>
        <w:t>黄桂祥，于海峰编 其他作品：https://www.jiaokey.com/tag/黄桂祥，于海峰编.html</w:t>
      </w:r>
    </w:p>
    <w:p>
      <w:r>
        <w:t>广东税务学会；广东国际税务咨询公司 出版图书：https://www.jiaokey.com/tag/广东税务学会；广东国际税务咨询公司.html</w:t>
      </w:r>
    </w:p>
    <w:p>
      <w:r>
        <w:t>关键词搜索：https://www.jiaokey.com/tag/94中国税制改革与实施要览.html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