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客家u3000误会的历史、历史的误会</w:t>
      </w:r>
    </w:p>
    <w:p>
      <w:r>
        <w:rPr>
          <w:rFonts w:ascii="宋体" w:hAnsi="宋体" w:eastAsia="宋体"/>
          <w:sz w:val="24"/>
        </w:rPr>
        <w:t>刘镇发著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客家u3000误会的历史、历史的误会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本书出售、求购地址：https://www.jiaokey.com/book/detail/13767818.html</w:t>
      </w:r>
    </w:p>
    <w:p>
      <w:r>
        <w:t>更多相关图书推荐：https://www.jiaokey.com</w:t>
      </w:r>
    </w:p>
    <w:p>
      <w:r>
        <w:t>刘镇发著 其他作品：https://www.jiaokey.com/tag/刘镇发著.html</w:t>
      </w:r>
    </w:p>
    <w:p>
      <w:r>
        <w:t>学术研究杂志社 出版图书：https://www.jiaokey.com/tag/学术研究杂志社.html</w:t>
      </w:r>
    </w:p>
    <w:p>
      <w:r>
        <w:t>关键词搜索：https://www.jiaokey.com/tag/客家u3000误会的历史、历史的误会.html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