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章次公经典医案赏析</w:t>
      </w:r>
    </w:p>
    <w:p>
      <w:r>
        <w:rPr>
          <w:rFonts w:ascii="宋体" w:hAnsi="宋体" w:eastAsia="宋体"/>
          <w:sz w:val="24"/>
        </w:rPr>
        <w:t>邱明义，陶春晖主编；刘琼，陈秭林，杨树升，段晓副主编；李家庚总主编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章次公经典医案赏析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邱明义，陶春晖主编；刘琼，陈秭林，杨树升，段晓副主编；李家庚总主编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本书出售、求购地址：https://www.jiaokey.com/book/detail/13767567.html</w:t>
      </w:r>
    </w:p>
    <w:p>
      <w:r>
        <w:t>更多相关图书推荐：https://www.jiaokey.com</w:t>
      </w:r>
    </w:p>
    <w:p>
      <w:r>
        <w:t>邱明义，陶春晖主编；刘琼，陈秭林，杨树升，段晓副主编；李家庚总主编 其他作品：https://www.jiaokey.com/tag/邱明义，陶春晖主编；刘琼，陈秭林，杨树升，段晓副主编；李家庚总主编.html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关键词搜索：https://www.jiaokey.com/tag/章次公经典医案赏析.html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