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  产业文化资产阶段性再生</w:t>
      </w:r>
    </w:p>
    <w:p>
      <w:r>
        <w:rPr>
          <w:rFonts w:ascii="宋体" w:hAnsi="宋体" w:eastAsia="宋体"/>
          <w:sz w:val="24"/>
        </w:rPr>
        <w:t>林崇熙，王国伟著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  产业文化资产阶段性再生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林崇熙，王国伟著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文化部文化资产局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本书出售、求购地址：https://www.jiaokey.com/book/detail/13767280.html</w:t>
      </w:r>
    </w:p>
    <w:p>
      <w:r>
        <w:t>更多相关图书推荐：https://www.jiaokey.com</w:t>
      </w:r>
    </w:p>
    <w:p>
      <w:r>
        <w:t>林崇熙，王国伟著 其他作品：https://www.jiaokey.com/tag/林崇熙，王国伟著.html</w:t>
      </w:r>
    </w:p>
    <w:p>
      <w:r>
        <w:t>文化部文化资产局 出版图书：https://www.jiaokey.com/tag/文化部文化资产局.html</w:t>
      </w:r>
    </w:p>
    <w:p>
      <w:r>
        <w:t>关键词搜索：https://www.jiaokey.com/tag/进化  产业文化资产阶段性再生.html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