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台湾文化场域意象采集  文化性资产清查手札</w:t>
      </w:r>
    </w:p>
    <w:p>
      <w:r>
        <w:rPr>
          <w:rFonts w:ascii="宋体" w:hAnsi="宋体" w:eastAsia="宋体"/>
          <w:sz w:val="24"/>
        </w:rPr>
        <w:t>黄荻昌总编辑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台湾文化场域意象采集  文化性资产清查手札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黄荻昌总编辑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文化部文化资产局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本书出售、求购地址：https://www.jiaokey.com/book/detail/13763753.html</w:t>
      </w:r>
    </w:p>
    <w:p>
      <w:r>
        <w:t>更多相关图书推荐：https://www.jiaokey.com</w:t>
      </w:r>
    </w:p>
    <w:p>
      <w:r>
        <w:t>黄荻昌总编辑 其他作品：https://www.jiaokey.com/tag/黄荻昌总编辑.html</w:t>
      </w:r>
    </w:p>
    <w:p>
      <w:r>
        <w:t>文化部文化资产局 出版图书：https://www.jiaokey.com/tag/文化部文化资产局.html</w:t>
      </w:r>
    </w:p>
    <w:p>
      <w:r>
        <w:t>关键词搜索：https://www.jiaokey.com/tag/台湾文化场域意象采集  文化性资产清查手札.html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