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物流法律与法规</w:t>
      </w:r>
    </w:p>
    <w:p>
      <w:r>
        <w:rPr>
          <w:rFonts w:ascii="宋体" w:hAnsi="宋体" w:eastAsia="宋体"/>
          <w:sz w:val="24"/>
        </w:rPr>
        <w:t>赵凤莲，李铁峰主编；于凌，朱永华，任俊岭，梁根琴副主编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赵凤莲，李铁峰主编；于凌，朱永华，任俊岭，梁根琴副主编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本书出售、求购地址：https://www.jiaokey.com/book/detail/13762318.html</w:t>
      </w:r>
    </w:p>
    <w:p>
      <w:r>
        <w:t>更多相关图书推荐：https://www.jiaokey.com</w:t>
      </w:r>
    </w:p>
    <w:p>
      <w:r>
        <w:t>赵凤莲，李铁峰主编；于凌，朱永华，任俊岭，梁根琴副主编 其他作品：https://www.jiaokey.com/tag/赵凤莲，李铁峰主编；于凌，朱永华，任俊岭，梁根琴副主编.html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关键词搜索：https://www.jiaokey.com/tag/物流法律与法规.html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