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</w:t>
      </w:r>
    </w:p>
    <w:p>
      <w:r>
        <w:rPr>
          <w:rFonts w:ascii="宋体" w:hAnsi="宋体" w:eastAsia="宋体"/>
          <w:sz w:val="24"/>
        </w:rPr>
        <w:t>龚永生，薛明明主编；孙艺平，乔伟丽副主编；秦晓群主审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龚永生，薛明明主编；孙艺平，乔伟丽副主编；秦晓群主审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本书出售、求购地址：https://www.jiaokey.com/book/detail/13761562.html</w:t>
      </w:r>
    </w:p>
    <w:p>
      <w:r>
        <w:t>更多相关图书推荐：https://www.jiaokey.com</w:t>
      </w:r>
    </w:p>
    <w:p>
      <w:r>
        <w:t>龚永生，薛明明主编；孙艺平，乔伟丽副主编；秦晓群主审 其他作品：https://www.jiaokey.com/tag/龚永生，薛明明主编；孙艺平，乔伟丽副主编；秦晓群主审.html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