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临床儿科重症疾病诊断与治疗</w:t>
      </w:r>
    </w:p>
    <w:p>
      <w:r>
        <w:rPr>
          <w:rFonts w:ascii="宋体" w:hAnsi="宋体" w:eastAsia="宋体"/>
          <w:sz w:val="24"/>
        </w:rPr>
        <w:t>赵春，孙正芸主编；于永慧，刘海燕，靳有鹏，闫一兵副主编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临床儿科重症疾病诊断与治疗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赵春，孙正芸主编；于永慧，刘海燕，靳有鹏，闫一兵副主编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本书出售、求购地址：https://www.jiaokey.com/book/detail/13761561.html</w:t>
      </w:r>
    </w:p>
    <w:p>
      <w:r>
        <w:t>更多相关图书推荐：https://www.jiaokey.com</w:t>
      </w:r>
    </w:p>
    <w:p>
      <w:r>
        <w:t>赵春，孙正芸主编；于永慧，刘海燕，靳有鹏，闫一兵副主编 其他作品：https://www.jiaokey.com/tag/赵春，孙正芸主编；于永慧，刘海燕，靳有鹏，闫一兵副主编.html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关键词搜索：https://www.jiaokey.com/tag/临床儿科重症疾病诊断与治疗.html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