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现代西方经济学概论</w:t>
      </w:r>
    </w:p>
    <w:p>
      <w:r>
        <w:rPr>
          <w:rFonts w:ascii="宋体" w:hAnsi="宋体" w:eastAsia="宋体"/>
          <w:sz w:val="24"/>
        </w:rPr>
        <w:t>王光振，薛昭莹，张红霞编著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王光振，薛昭莹，张红霞编著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广东省社会科学院研究生进修学院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本书出售、求购地址：https://www.jiaokey.com/book/detail/13761501.html</w:t>
      </w:r>
    </w:p>
    <w:p>
      <w:r>
        <w:t>更多相关图书推荐：https://www.jiaokey.com</w:t>
      </w:r>
    </w:p>
    <w:p>
      <w:r>
        <w:t>王光振，薛昭莹，张红霞编著 其他作品：https://www.jiaokey.com/tag/王光振，薛昭莹，张红霞编著.html</w:t>
      </w:r>
    </w:p>
    <w:p>
      <w:r>
        <w:t>广东省社会科学院研究生进修学院 出版图书：https://www.jiaokey.com/tag/广东省社会科学院研究生进修学院.html</w:t>
      </w:r>
    </w:p>
    <w:p>
      <w:r>
        <w:t>关键词搜索：https://www.jiaokey.com/tag/现代西方经济学概论.html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