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2010数据库技术基础及应用</w:t>
      </w:r>
    </w:p>
    <w:p>
      <w:r>
        <w:rPr>
          <w:rFonts w:ascii="宋体" w:hAnsi="宋体" w:eastAsia="宋体"/>
          <w:sz w:val="24"/>
        </w:rPr>
        <w:t>饶拱维，杨贵茂主编；巫满秀，房宜汕，吴华光，温凯峰，伍春晴，温文，刘航，郭其标副主编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饶拱维，杨贵茂主编；巫满秀，房宜汕，吴华光，温凯峰，伍春晴，温文，刘航，郭其标副主编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本书出售、求购地址：https://www.jiaokey.com/book/detail/13761262.html</w:t>
      </w:r>
    </w:p>
    <w:p>
      <w:r>
        <w:t>更多相关图书推荐：https://www.jiaokey.com</w:t>
      </w:r>
    </w:p>
    <w:p>
      <w:r>
        <w:t>饶拱维，杨贵茂主编；巫满秀，房宜汕，吴华光，温凯峰，伍春晴，温文，刘航，郭其标副主编 其他作品：https://www.jiaokey.com/tag/饶拱维，杨贵茂主编；巫满秀，房宜汕，吴华光，温凯峰，伍春晴，温文，刘航，郭其标副主编.html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