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网络营销</w:t>
      </w:r>
    </w:p>
    <w:p>
      <w:r>
        <w:rPr>
          <w:rFonts w:ascii="宋体" w:hAnsi="宋体" w:eastAsia="宋体"/>
          <w:sz w:val="24"/>
        </w:rPr>
        <w:t>丁侃，虞沧主编；冯莲，蔡飞，冯安峰，樊春梅，张建星，贾超副主编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丁侃，虞沧主编；冯莲，蔡飞，冯安峰，樊春梅，张建星，贾超副主编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本书出售、求购地址：https://www.jiaokey.com/book/detail/13759864.html</w:t>
      </w:r>
    </w:p>
    <w:p>
      <w:r>
        <w:t>更多相关图书推荐：https://www.jiaokey.com</w:t>
      </w:r>
    </w:p>
    <w:p>
      <w:r>
        <w:t>丁侃，虞沧主编；冯莲，蔡飞，冯安峰，樊春梅，张建星，贾超副主编 其他作品：https://www.jiaokey.com/tag/丁侃，虞沧主编；冯莲，蔡飞，冯安峰，樊春梅，张建星，贾超副主编.html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关键词搜索：https://www.jiaokey.com/tag/高职高专“十二五”规划教材  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