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台湾名家美术100  水墨</w:t>
      </w:r>
    </w:p>
    <w:p>
      <w:r>
        <w:rPr>
          <w:rFonts w:ascii="宋体" w:hAnsi="宋体" w:eastAsia="宋体"/>
          <w:sz w:val="24"/>
        </w:rPr>
        <w:t>许钟荣总策划；许钟荣总编辑；黄正纲执行主编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台湾名家美术100  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许钟荣总策划；许钟荣总编辑；黄正纲执行主编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香柏树文化科技股份有限公司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本书出售、求购地址：https://www.jiaokey.com/book/detail/13759024.html</w:t>
      </w:r>
    </w:p>
    <w:p>
      <w:r>
        <w:t>更多相关图书推荐：https://www.jiaokey.com</w:t>
      </w:r>
    </w:p>
    <w:p>
      <w:r>
        <w:t>许钟荣总策划；许钟荣总编辑；黄正纲执行主编 其他作品：https://www.jiaokey.com/tag/许钟荣总策划；许钟荣总编辑；黄正纲执行主编.html</w:t>
      </w:r>
    </w:p>
    <w:p>
      <w:r>
        <w:t>香柏树文化科技股份有限公司 出版图书：https://www.jiaokey.com/tag/香柏树文化科技股份有限公司.html</w:t>
      </w:r>
    </w:p>
    <w:p>
      <w:r>
        <w:t>关键词搜索：https://www.jiaokey.com/tag/台湾名家美术100  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