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土地法改革的新趋势</w:t>
      </w:r>
    </w:p>
    <w:p>
      <w:r>
        <w:rPr>
          <w:rFonts w:ascii="宋体" w:hAnsi="宋体" w:eastAsia="宋体"/>
          <w:sz w:val="24"/>
        </w:rPr>
        <w:t>唐晓晴主编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土地法改革的新趋势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澳门大学出版社；法学院高级法律研究所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本书出售、求购地址：https://www.jiaokey.com/book/detail/13759004.html</w:t>
      </w:r>
    </w:p>
    <w:p>
      <w:r>
        <w:t>更多相关图书推荐：https://www.jiaokey.com</w:t>
      </w:r>
    </w:p>
    <w:p>
      <w:r>
        <w:t>唐晓晴主编 其他作品：https://www.jiaokey.com/tag/唐晓晴主编.html</w:t>
      </w:r>
    </w:p>
    <w:p>
      <w:r>
        <w:t>澳门大学出版社；法学院高级法律研究所 出版图书：https://www.jiaokey.com/tag/澳门大学出版社；法学院高级法律研究所.html</w:t>
      </w:r>
    </w:p>
    <w:p>
      <w:r>
        <w:t>关键词搜索：https://www.jiaokey.com/tag/土地法改革的新趋势.html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