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信仰、实践与文化调适  下</w:t>
      </w:r>
    </w:p>
    <w:p>
      <w:r>
        <w:rPr>
          <w:rFonts w:ascii="宋体" w:hAnsi="宋体" w:eastAsia="宋体"/>
          <w:sz w:val="24"/>
        </w:rPr>
        <w:t>康豹，刘淑芬主编；黄进兴总编辑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信仰、实践与文化调适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康豹，刘淑芬主编；黄进兴总编辑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本书出售、求购地址：https://www.jiaokey.com/book/detail/13758951.html</w:t>
      </w:r>
    </w:p>
    <w:p>
      <w:r>
        <w:t>更多相关图书推荐：https://www.jiaokey.com</w:t>
      </w:r>
    </w:p>
    <w:p>
      <w:r>
        <w:t>康豹，刘淑芬主编；黄进兴总编辑 其他作品：https://www.jiaokey.com/tag/康豹，刘淑芬主编；黄进兴总编辑.html</w:t>
      </w:r>
    </w:p>
    <w:p>
      <w:r>
        <w:t>中央研究院 出版图书：https://www.jiaokey.com/tag/中央研究院.html</w:t>
      </w:r>
    </w:p>
    <w:p>
      <w:r>
        <w:t>关键词搜索：https://www.jiaokey.com/tag/信仰、实践与文化调适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