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川渝果树资源植物</w:t>
      </w:r>
    </w:p>
    <w:p>
      <w:r>
        <w:rPr>
          <w:rFonts w:ascii="宋体" w:hAnsi="宋体" w:eastAsia="宋体"/>
          <w:sz w:val="24"/>
        </w:rPr>
        <w:t>江宁拱主编；江宁拱，梁国鲁，周志钦，江广渝，李晓林，郭启高编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川渝果树资源植物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江宁拱主编；江宁拱，梁国鲁，周志钦，江广渝，李晓林，郭启高编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本书出售、求购地址：https://www.jiaokey.com/book/detail/13758468.html</w:t>
      </w:r>
    </w:p>
    <w:p>
      <w:r>
        <w:t>更多相关图书推荐：https://www.jiaokey.com</w:t>
      </w:r>
    </w:p>
    <w:p>
      <w:r>
        <w:t>江宁拱主编；江宁拱，梁国鲁，周志钦，江广渝，李晓林，郭启高编 其他作品：https://www.jiaokey.com/tag/江宁拱主编；江宁拱，梁国鲁，周志钦，江广渝，李晓林，郭启高编.html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关键词搜索：https://www.jiaokey.com/tag/川渝果树资源植物.html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