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国际化创新型外语人才培养与教材体系构建研究</w:t>
      </w:r>
    </w:p>
    <w:p>
      <w:r>
        <w:rPr>
          <w:rFonts w:ascii="宋体" w:hAnsi="宋体" w:eastAsia="宋体"/>
          <w:sz w:val="24"/>
        </w:rPr>
        <w:t>庄智象，孙玉，严凯，谢宇，韩天霖，刘华初，王雪梅著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国际化创新型外语人才培养与教材体系构建研究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庄智象，孙玉，严凯，谢宇，韩天霖，刘华初，王雪梅著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本书出售、求购地址：https://www.jiaokey.com/book/detail/13758087.html</w:t>
      </w:r>
    </w:p>
    <w:p>
      <w:r>
        <w:t>更多相关图书推荐：https://www.jiaokey.com</w:t>
      </w:r>
    </w:p>
    <w:p>
      <w:r>
        <w:t>庄智象，孙玉，严凯，谢宇，韩天霖，刘华初，王雪梅著 其他作品：https://www.jiaokey.com/tag/庄智象，孙玉，严凯，谢宇，韩天霖，刘华初，王雪梅著.html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关键词搜索：https://www.jiaokey.com/tag/国际化创新型外语人才培养与教材体系构建研究.html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