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综合学习设计</w:t>
      </w:r>
    </w:p>
    <w:p>
      <w:r>
        <w:rPr>
          <w:rFonts w:ascii="宋体" w:hAnsi="宋体" w:eastAsia="宋体"/>
          <w:sz w:val="24"/>
        </w:rPr>
        <w:t>（荷兰）杰罗姆·范梅里恩伯尔（JeroenJ.G.VanMeerrinboer），（荷兰）保罗·基尔希纳（PaulA.Kirschner）著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综合学习设计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（荷兰）杰罗姆·范梅里恩伯尔（JeroenJ.G.VanMeerrinboer），（荷兰）保罗·基尔希纳（PaulA.Kirschner）著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本书出售、求购地址：https://www.jiaokey.com/book/detail/13757897.html</w:t>
      </w:r>
    </w:p>
    <w:p>
      <w:r>
        <w:t>更多相关图书推荐：https://www.jiaokey.com</w:t>
      </w:r>
    </w:p>
    <w:p>
      <w:r>
        <w:t>（荷兰）杰罗姆·范梅里恩伯尔（JeroenJ.G.VanMeerrinboer），（荷兰）保罗·基尔希纳（PaulA.Kirschner）著 其他作品：https://www.jiaokey.com/tag/（荷兰）杰罗姆·范梅里恩伯尔（JeroenJ.G.VanMeerrinboer），（荷兰）保罗·基尔希纳（PaulA.Kirschner）著.html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关键词搜索：https://www.jiaokey.com/tag/综合学习设计.html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