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Por/E应用教程</w:t>
      </w:r>
    </w:p>
    <w:p>
      <w:r>
        <w:rPr>
          <w:rFonts w:ascii="宋体" w:hAnsi="宋体" w:eastAsia="宋体"/>
          <w:sz w:val="24"/>
        </w:rPr>
        <w:t>潘祖聪，易慧君主编；杨素萍，朱劲松，王贤虎副主编；余承辉，贾芸主审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Por/E应用教程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潘祖聪，易慧君主编；杨素萍，朱劲松，王贤虎副主编；余承辉，贾芸主审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本书出售、求购地址：https://www.jiaokey.com/book/detail/13756650.html</w:t>
      </w:r>
    </w:p>
    <w:p>
      <w:r>
        <w:t>更多相关图书推荐：https://www.jiaokey.com</w:t>
      </w:r>
    </w:p>
    <w:p>
      <w:r>
        <w:t>潘祖聪，易慧君主编；杨素萍，朱劲松，王贤虎副主编；余承辉，贾芸主审 其他作品：https://www.jiaokey.com/tag/潘祖聪，易慧君主编；杨素萍，朱劲松，王贤虎副主编；余承辉，贾芸主审.html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关键词搜索：https://www.jiaokey.com/tag/Por/E应用教程.html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