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南海海上交通贸易二千年</w:t>
      </w:r>
    </w:p>
    <w:p>
      <w:r>
        <w:rPr>
          <w:rFonts w:ascii="宋体" w:hAnsi="宋体" w:eastAsia="宋体"/>
          <w:sz w:val="24"/>
        </w:rPr>
        <w:t>广州博物馆，广东省博物馆，香港市政局合办；丁新豹编辑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南海海上交通贸易二千年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广州博物馆，广东省博物馆，香港市政局合办；丁新豹编辑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香港市政局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本书出售、求购地址：https://www.jiaokey.com/book/detail/13756067.html</w:t>
      </w:r>
    </w:p>
    <w:p>
      <w:r>
        <w:t>更多相关图书推荐：https://www.jiaokey.com</w:t>
      </w:r>
    </w:p>
    <w:p>
      <w:r>
        <w:t>广州博物馆，广东省博物馆，香港市政局合办；丁新豹编辑 其他作品：https://www.jiaokey.com/tag/广州博物馆，广东省博物馆，香港市政局合办；丁新豹编辑.html</w:t>
      </w:r>
    </w:p>
    <w:p>
      <w:r>
        <w:t>香港市政局 出版图书：https://www.jiaokey.com/tag/香港市政局.html</w:t>
      </w:r>
    </w:p>
    <w:p>
      <w:r>
        <w:t>关键词搜索：https://www.jiaokey.com/tag/南海海上交通贸易二千年.html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