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格式塔理论融入古典诗意象分析之探索</w:t>
      </w:r>
    </w:p>
    <w:p>
      <w:r>
        <w:rPr>
          <w:rFonts w:ascii="宋体" w:hAnsi="宋体" w:eastAsia="宋体"/>
          <w:sz w:val="24"/>
        </w:rPr>
        <w:t>潘丽珠，林晓筠，刘楚荆，林丰艺，温亭羽等著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格式塔理论融入古典诗意象分析之探索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潘丽珠，林晓筠，刘楚荆，林丰艺，温亭羽等著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本书出售、求购地址：https://www.jiaokey.com/book/detail/13755981.html</w:t>
      </w:r>
    </w:p>
    <w:p>
      <w:r>
        <w:t>更多相关图书推荐：https://www.jiaokey.com</w:t>
      </w:r>
    </w:p>
    <w:p>
      <w:r>
        <w:t>潘丽珠，林晓筠，刘楚荆，林丰艺，温亭羽等著 其他作品：https://www.jiaokey.com/tag/潘丽珠，林晓筠，刘楚荆，林丰艺，温亭羽等著.html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关键词搜索：https://www.jiaokey.com/tag/格式塔理论融入古典诗意象分析之探索.html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