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刑法案例教程</w:t>
      </w:r>
    </w:p>
    <w:p>
      <w:r>
        <w:rPr>
          <w:rFonts w:ascii="宋体" w:hAnsi="宋体" w:eastAsia="宋体"/>
          <w:sz w:val="24"/>
        </w:rPr>
        <w:t>孟庆瑜总主编；何秉群，朱良酷，时清霜副总主编；冯惠敏，赵炳山主编；宋伟卫，郭宁副主编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孟庆瑜总主编；何秉群，朱良酷，时清霜副总主编；冯惠敏，赵炳山主编；宋伟卫，郭宁副主编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本书出售、求购地址：https://www.jiaokey.com/book/detail/13755292.html</w:t>
      </w:r>
    </w:p>
    <w:p>
      <w:r>
        <w:t>更多相关图书推荐：https://www.jiaokey.com</w:t>
      </w:r>
    </w:p>
    <w:p>
      <w:r>
        <w:t>孟庆瑜总主编；何秉群，朱良酷，时清霜副总主编；冯惠敏，赵炳山主编；宋伟卫，郭宁副主编 其他作品：https://www.jiaokey.com/tag/孟庆瑜总主编；何秉群，朱良酷，时清霜副总主编；冯惠敏，赵炳山主编；宋伟卫，郭宁副主编.html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关键词搜索：https://www.jiaokey.com/tag/刑法案例教程.html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