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活的原旨主义</w:t>
      </w:r>
    </w:p>
    <w:p>
      <w:r>
        <w:rPr>
          <w:rFonts w:ascii="宋体" w:hAnsi="宋体" w:eastAsia="宋体"/>
          <w:sz w:val="24"/>
        </w:rPr>
        <w:t>（美）杰克·M.巴尔金著；刘连泰，刘玉姿译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活的原旨主义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（美）杰克·M.巴尔金著；刘连泰，刘玉姿译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本书出售、求购地址：https://www.jiaokey.com/book/detail/13755168.html</w:t>
      </w:r>
    </w:p>
    <w:p>
      <w:r>
        <w:t>更多相关图书推荐：https://www.jiaokey.com</w:t>
      </w:r>
    </w:p>
    <w:p>
      <w:r>
        <w:t>（美）杰克·M.巴尔金著；刘连泰，刘玉姿译 其他作品：https://www.jiaokey.com/tag/（美）杰克·M.巴尔金著；刘连泰，刘玉姿译.html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关键词搜索：https://www.jiaokey.com/tag/活的原旨主义.html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