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长江三峡文化开发战略</w:t>
      </w:r>
    </w:p>
    <w:p>
      <w:r>
        <w:rPr>
          <w:rFonts w:ascii="宋体" w:hAnsi="宋体" w:eastAsia="宋体"/>
          <w:sz w:val="24"/>
        </w:rPr>
        <w:t>刘宗发主编；宜昌市长江三峡文化开发战略研究课题组编著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长江三峡文化开发战略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刘宗发主编；宜昌市长江三峡文化开发战略研究课题组编著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本书出售、求购地址：https://www.jiaokey.com/book/detail/13753235.html</w:t>
      </w:r>
    </w:p>
    <w:p>
      <w:r>
        <w:t>更多相关图书推荐：https://www.jiaokey.com</w:t>
      </w:r>
    </w:p>
    <w:p>
      <w:r>
        <w:t>刘宗发主编；宜昌市长江三峡文化开发战略研究课题组编著 其他作品：https://www.jiaokey.com/tag/刘宗发主编；宜昌市长江三峡文化开发战略研究课题组编著.html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关键词搜索：https://www.jiaokey.com/tag/长江三峡文化开发战略.html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