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</w:t>
      </w:r>
    </w:p>
    <w:p>
      <w:r>
        <w:rPr>
          <w:rFonts w:ascii="宋体" w:hAnsi="宋体" w:eastAsia="宋体"/>
          <w:sz w:val="24"/>
        </w:rPr>
        <w:t>（苏）瓦西列夫（С.П.Васильев）撰；刘天瑞，邵丙寅译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（苏）瓦西列夫（С.П.Васильев）撰；刘天瑞，邵丙寅译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本书出售、求购地址：https://www.jiaokey.com/book/detail/13752022.html</w:t>
      </w:r>
    </w:p>
    <w:p>
      <w:r>
        <w:t>更多相关图书推荐：https://www.jiaokey.com</w:t>
      </w:r>
    </w:p>
    <w:p>
      <w:r>
        <w:t>（苏）瓦西列夫（С.П.Васильев）撰；刘天瑞，邵丙寅译 其他作品：https://www.jiaokey.com/tag/（苏）瓦西列夫（С.П.Васильев）撰；刘天瑞，邵丙寅译.html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