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政府工作报告：2010年1月13日日在北京市平谷区第三届人民代表大会第五次会议上</w:t>
      </w:r>
    </w:p>
    <w:p>
      <w:r>
        <w:rPr>
          <w:rFonts w:ascii="宋体" w:hAnsi="宋体" w:eastAsia="宋体"/>
          <w:sz w:val="24"/>
        </w:rPr>
        <w:t>邱水平著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政府工作报告：2010年1月13日日在北京市平谷区第三届人民代表大会第五次会议上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中共北京市平谷区委宣传部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本书出售、求购地址：https://www.jiaokey.com/book/detail/13751930.html</w:t>
      </w:r>
    </w:p>
    <w:p>
      <w:r>
        <w:t>更多相关图书推荐：https://www.jiaokey.com</w:t>
      </w:r>
    </w:p>
    <w:p>
      <w:r>
        <w:t>邱水平著 其他作品：https://www.jiaokey.com/tag/邱水平著.html</w:t>
      </w:r>
    </w:p>
    <w:p>
      <w:r>
        <w:t>中共北京市平谷区委宣传部 出版图书：https://www.jiaokey.com/tag/中共北京市平谷区委宣传部.html</w:t>
      </w:r>
    </w:p>
    <w:p>
      <w:r>
        <w:t>关键词搜索：https://www.jiaokey.com/tag/政府工作报告：2010年1月13日日在北京市平谷区第三届人民代表大会第五次会议上.html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