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初二《平谷大秧歌》校本课程《教学大纲》  初二年级使用</w:t>
      </w:r>
    </w:p>
    <w:p>
      <w:r>
        <w:rPr>
          <w:rFonts w:ascii="宋体" w:hAnsi="宋体" w:eastAsia="宋体"/>
          <w:sz w:val="24"/>
        </w:rPr>
        <w:t>崔东光主编；卢艳红编辑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初二《平谷大秧歌》校本课程《教学大纲》  初二年级使用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崔东光主编；卢艳红编辑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平谷区山东庄中学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本书出售、求购地址：https://www.jiaokey.com/book/detail/13751781.html</w:t>
      </w:r>
    </w:p>
    <w:p>
      <w:r>
        <w:t>更多相关图书推荐：https://www.jiaokey.com</w:t>
      </w:r>
    </w:p>
    <w:p>
      <w:r>
        <w:t>崔东光主编；卢艳红编辑 其他作品：https://www.jiaokey.com/tag/崔东光主编；卢艳红编辑.html</w:t>
      </w:r>
    </w:p>
    <w:p>
      <w:r>
        <w:t>平谷区山东庄中学 出版图书：https://www.jiaokey.com/tag/平谷区山东庄中学.html</w:t>
      </w:r>
    </w:p>
    <w:p>
      <w:r>
        <w:t>关键词搜索：https://www.jiaokey.com/tag/初二《平谷大秧歌》校本课程《教学大纲》  初二年级使用.html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