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化学概论</w:t>
      </w:r>
    </w:p>
    <w:p>
      <w:r>
        <w:rPr>
          <w:rFonts w:ascii="宋体" w:hAnsi="宋体" w:eastAsia="宋体"/>
          <w:sz w:val="24"/>
        </w:rPr>
        <w:t>麦费孙，罕迭生著；傅式说，胡荣铨译；郑贞文，郑尊法校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麦费孙，罕迭生著；傅式说，胡荣铨译；郑贞文，郑尊法校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本书出售、求购地址：https://www.jiaokey.com/book/detail/13749220.html</w:t>
      </w:r>
    </w:p>
    <w:p>
      <w:r>
        <w:t>更多相关图书推荐：https://www.jiaokey.com</w:t>
      </w:r>
    </w:p>
    <w:p>
      <w:r>
        <w:t>麦费孙，罕迭生著；傅式说，胡荣铨译；郑贞文，郑尊法校 其他作品：https://www.jiaokey.com/tag/麦费孙，罕迭生著；傅式说，胡荣铨译；郑贞文，郑尊法校.html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