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自然界之现象</w:t>
      </w:r>
    </w:p>
    <w:p>
      <w:r>
        <w:rPr>
          <w:rFonts w:ascii="宋体" w:hAnsi="宋体" w:eastAsia="宋体"/>
          <w:sz w:val="24"/>
        </w:rPr>
        <w:t>三泽力太郎著；范恒，李宗藩译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自然界之现象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三泽力太郎著；范恒，李宗藩译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清国留学生会馆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本书出售、求购地址：https://www.jiaokey.com/book/detail/13749145.html</w:t>
      </w:r>
    </w:p>
    <w:p>
      <w:r>
        <w:t>更多相关图书推荐：https://www.jiaokey.com</w:t>
      </w:r>
    </w:p>
    <w:p>
      <w:r>
        <w:t>三泽力太郎著；范恒，李宗藩译 其他作品：https://www.jiaokey.com/tag/三泽力太郎著；范恒，李宗藩译.html</w:t>
      </w:r>
    </w:p>
    <w:p>
      <w:r>
        <w:t>清国留学生会馆 出版图书：https://www.jiaokey.com/tag/清国留学生会馆.html</w:t>
      </w:r>
    </w:p>
    <w:p>
      <w:r>
        <w:t>关键词搜索：https://www.jiaokey.com/tag/自然界之现象.html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