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12G901钢筋排布规则与构造系列图集应用</w:t>
      </w:r>
    </w:p>
    <w:p>
      <w:r>
        <w:rPr>
          <w:rFonts w:ascii="宋体" w:hAnsi="宋体" w:eastAsia="宋体"/>
          <w:sz w:val="24"/>
        </w:rPr>
        <w:t>《12G901钢筋排布规则与构造系列图集应用》编委会编；上官子昌主编；韩旭，刘秀民，吕克顺等参编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12G901钢筋排布规则与构造系列图集应用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《12G901钢筋排布规则与构造系列图集应用》编委会编；上官子昌主编；韩旭，刘秀民，吕克顺等参编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本书出售、求购地址：https://www.jiaokey.com/book/detail/13748598.html</w:t>
      </w:r>
    </w:p>
    <w:p>
      <w:r>
        <w:t>更多相关图书推荐：https://www.jiaokey.com</w:t>
      </w:r>
    </w:p>
    <w:p>
      <w:r>
        <w:t>《12G901钢筋排布规则与构造系列图集应用》编委会编；上官子昌主编；韩旭，刘秀民，吕克顺等参编 其他作品：https://www.jiaokey.com/tag/《12G901钢筋排布规则与构造系列图集应用》编委会编；上官子昌主编；韩旭，刘秀民，吕克顺等参编.html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关键词搜索：https://www.jiaokey.com/tag/12G901钢筋排布规则与构造系列图集应用.html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