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LED照明控制</w:t>
      </w:r>
    </w:p>
    <w:p>
      <w:r>
        <w:rPr>
          <w:rFonts w:ascii="宋体" w:hAnsi="宋体" w:eastAsia="宋体"/>
          <w:sz w:val="24"/>
        </w:rPr>
        <w:t>人力资源和社会保障部职业技能鉴定中心指导编写；国家半导体照明工程研发及产业联盟组织编写；王巍主编；杜志忠副主编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人力资源和社会保障部职业技能鉴定中心指导编写；国家半导体照明工程研发及产业联盟组织编写；王巍主编；杜志忠副主编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本书出售、求购地址：https://www.jiaokey.com/book/detail/13748487.html</w:t>
      </w:r>
    </w:p>
    <w:p>
      <w:r>
        <w:t>更多相关图书推荐：https://www.jiaokey.com</w:t>
      </w:r>
    </w:p>
    <w:p>
      <w:r>
        <w:t>人力资源和社会保障部职业技能鉴定中心指导编写；国家半导体照明工程研发及产业联盟组织编写；王巍主编；杜志忠副主编 其他作品：https://www.jiaokey.com/tag/人力资源和社会保障部职业技能鉴定中心指导编写；国家半导体照明工程研发及产业联盟组织编写；王巍主编；杜志忠副主编.html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关键词搜索：https://www.jiaokey.com/tag/LED照明控制.html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