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液压与气压传动技术及应用</w:t>
      </w:r>
    </w:p>
    <w:p>
      <w:r>
        <w:rPr>
          <w:rFonts w:ascii="宋体" w:hAnsi="宋体" w:eastAsia="宋体"/>
          <w:sz w:val="24"/>
        </w:rPr>
        <w:t>田勇主编；王宗才，高长银副主编；安爱琴，王彦林，周亚军，郭宏亮，贾建涛参编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田勇主编；王宗才，高长银副主编；安爱琴，王彦林，周亚军，郭宏亮，贾建涛参编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本书出售、求购地址：https://www.jiaokey.com/book/detail/13747709.html</w:t>
      </w:r>
    </w:p>
    <w:p>
      <w:r>
        <w:t>更多相关图书推荐：https://www.jiaokey.com</w:t>
      </w:r>
    </w:p>
    <w:p>
      <w:r>
        <w:t>田勇主编；王宗才，高长银副主编；安爱琴，王彦林，周亚军，郭宏亮，贾建涛参编 其他作品：https://www.jiaokey.com/tag/田勇主编；王宗才，高长银副主编；安爱琴，王彦林，周亚军，郭宏亮，贾建涛参编.html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关键词搜索：https://www.jiaokey.com/tag/液压与气压传动技术及应用.html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