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中国古代办案的故事  1</w:t>
      </w:r>
    </w:p>
    <w:p>
      <w:r>
        <w:rPr>
          <w:rFonts w:ascii="宋体" w:hAnsi="宋体" w:eastAsia="宋体"/>
          <w:sz w:val="24"/>
        </w:rPr>
        <w:t>马保超改编；朱志勇，赵君，刘建才等绘画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中国古代办案的故事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马保超改编；朱志勇，赵君，刘建才等绘画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本书出售、求购地址：https://www.jiaokey.com/book/detail/13746347.html</w:t>
      </w:r>
    </w:p>
    <w:p>
      <w:r>
        <w:t>更多相关图书推荐：https://www.jiaokey.com</w:t>
      </w:r>
    </w:p>
    <w:p>
      <w:r>
        <w:t>马保超改编；朱志勇，赵君，刘建才等绘画 其他作品：https://www.jiaokey.com/tag/马保超改编；朱志勇，赵君，刘建才等绘画.html</w:t>
      </w:r>
    </w:p>
    <w:p>
      <w:r>
        <w:t>西安：陕西人民美术出版社 出版图书：https://www.jiaokey.com/tag/西安：陕西人民美术出版社.html</w:t>
      </w:r>
    </w:p>
    <w:p>
      <w:r>
        <w:t>关键词搜索：https://www.jiaokey.com/tag/中国古代办案的故事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