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电力行业仿真培训与考核大纲</w:t>
      </w:r>
    </w:p>
    <w:p>
      <w:r>
        <w:rPr>
          <w:rFonts w:ascii="宋体" w:hAnsi="宋体" w:eastAsia="宋体"/>
          <w:sz w:val="24"/>
        </w:rPr>
        <w:t>中国电力企业联合会技能鉴定与教育培训中心组编；马永光，陈映琼，白天池编著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电力行业仿真培训与考核大纲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中国电力企业联合会技能鉴定与教育培训中心组编；马永光，陈映琼，白天池编著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本书出售、求购地址：https://www.jiaokey.com/book/detail/13746211.html</w:t>
      </w:r>
    </w:p>
    <w:p>
      <w:r>
        <w:t>更多相关图书推荐：https://www.jiaokey.com</w:t>
      </w:r>
    </w:p>
    <w:p>
      <w:r>
        <w:t>中国电力企业联合会技能鉴定与教育培训中心组编；马永光，陈映琼，白天池编著 其他作品：https://www.jiaokey.com/tag/中国电力企业联合会技能鉴定与教育培训中心组编；马永光，陈映琼，白天池编著.html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关键词搜索：https://www.jiaokey.com/tag/电力行业仿真培训与考核大纲.html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