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职业结构工程师业务指南</w:t>
      </w:r>
    </w:p>
    <w:p>
      <w:r>
        <w:rPr>
          <w:rFonts w:ascii="宋体" w:hAnsi="宋体" w:eastAsia="宋体"/>
          <w:sz w:val="24"/>
        </w:rPr>
        <w:t>住房和城乡建设部执业资格注册中心组织编写；丁洁民，赵昕主编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职业结构工程师业务指南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住房和城乡建设部执业资格注册中心组织编写；丁洁民，赵昕主编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本书出售、求购地址：https://www.jiaokey.com/book/detail/13745522.html</w:t>
      </w:r>
    </w:p>
    <w:p>
      <w:r>
        <w:t>更多相关图书推荐：https://www.jiaokey.com</w:t>
      </w:r>
    </w:p>
    <w:p>
      <w:r>
        <w:t>住房和城乡建设部执业资格注册中心组织编写；丁洁民，赵昕主编 其他作品：https://www.jiaokey.com/tag/住房和城乡建设部执业资格注册中心组织编写；丁洁民，赵昕主编.html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关键词搜索：https://www.jiaokey.com/tag/职业结构工程师业务指南.html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