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</w:t>
      </w:r>
    </w:p>
    <w:p>
      <w:r>
        <w:rPr>
          <w:rFonts w:ascii="宋体" w:hAnsi="宋体" w:eastAsia="宋体"/>
          <w:sz w:val="24"/>
        </w:rPr>
        <w:t>（法）朱丽叶·索芒德著；（法）格扎维埃·克莱特，朱丽安·比扎绘；卜育译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（法）朱丽叶·索芒德著；（法）格扎维埃·克莱特，朱丽安·比扎绘；卜育译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本书出售、求购地址：https://www.jiaokey.com/book/detail/13744493.html</w:t>
      </w:r>
    </w:p>
    <w:p>
      <w:r>
        <w:t>更多相关图书推荐：https://www.jiaokey.com</w:t>
      </w:r>
    </w:p>
    <w:p>
      <w:r>
        <w:t>（法）朱丽叶·索芒德著；（法）格扎维埃·克莱特，朱丽安·比扎绘；卜育译 其他作品：https://www.jiaokey.com/tag/（法）朱丽叶·索芒德著；（法）格扎维埃·克莱特，朱丽安·比扎绘；卜育译.html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关键词搜索：https://www.jiaokey.com/tag/怪兽学校.html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