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民商事审判改革的路径与成效</w:t>
      </w:r>
    </w:p>
    <w:p>
      <w:r>
        <w:rPr>
          <w:rFonts w:ascii="宋体" w:hAnsi="宋体" w:eastAsia="宋体"/>
          <w:sz w:val="24"/>
        </w:rPr>
        <w:t>奚晓明主编；杜万华副主编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民商事审判改革的路径与成效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奚晓明主编；杜万华副主编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本书出售、求购地址：https://www.jiaokey.com/book/detail/13743726.html</w:t>
      </w:r>
    </w:p>
    <w:p>
      <w:r>
        <w:t>更多相关图书推荐：https://www.jiaokey.com</w:t>
      </w:r>
    </w:p>
    <w:p>
      <w:r>
        <w:t>奚晓明主编；杜万华副主编 其他作品：https://www.jiaokey.com/tag/奚晓明主编；杜万华副主编.html</w:t>
      </w:r>
    </w:p>
    <w:p>
      <w:r>
        <w:t>关键词搜索：https://www.jiaokey.com/tag/民商事审判改革的路径与成效.html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