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一个华南客家教会的研究  从巴色会到香港崇真会</w:t>
      </w:r>
    </w:p>
    <w:p>
      <w:r>
        <w:rPr>
          <w:rFonts w:ascii="宋体" w:hAnsi="宋体" w:eastAsia="宋体"/>
          <w:sz w:val="24"/>
        </w:rPr>
        <w:t>汤泳诗著；卢龙光主编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一个华南客家教会的研究  从巴色会到香港崇真会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汤泳诗著；卢龙光主编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基督教中国宗教文化研究社有限公司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本书出售、求购地址：https://www.jiaokey.com/book/detail/13742815.html</w:t>
      </w:r>
    </w:p>
    <w:p>
      <w:r>
        <w:t>更多相关图书推荐：https://www.jiaokey.com</w:t>
      </w:r>
    </w:p>
    <w:p>
      <w:r>
        <w:t>汤泳诗著；卢龙光主编 其他作品：https://www.jiaokey.com/tag/汤泳诗著；卢龙光主编.html</w:t>
      </w:r>
    </w:p>
    <w:p>
      <w:r>
        <w:t>基督教中国宗教文化研究社有限公司 出版图书：https://www.jiaokey.com/tag/基督教中国宗教文化研究社有限公司.html</w:t>
      </w:r>
    </w:p>
    <w:p>
      <w:r>
        <w:t>关键词搜索：https://www.jiaokey.com/tag/一个华南客家教会的研究  从巴色会到香港崇真会.html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