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企业法务著作权须知</w:t>
      </w:r>
    </w:p>
    <w:p>
      <w:r>
        <w:rPr>
          <w:rFonts w:ascii="宋体" w:hAnsi="宋体" w:eastAsia="宋体"/>
          <w:sz w:val="24"/>
        </w:rPr>
        <w:t>赖文智著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企业法务著作权须知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益思科技法律事务所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本书出售、求购地址：https://www.jiaokey.com/book/detail/13742724.html</w:t>
      </w:r>
    </w:p>
    <w:p>
      <w:r>
        <w:t>更多相关图书推荐：https://www.jiaokey.com</w:t>
      </w:r>
    </w:p>
    <w:p>
      <w:r>
        <w:t>赖文智著 其他作品：https://www.jiaokey.com/tag/赖文智著.html</w:t>
      </w:r>
    </w:p>
    <w:p>
      <w:r>
        <w:t>益思科技法律事务所 出版图书：https://www.jiaokey.com/tag/益思科技法律事务所.html</w:t>
      </w:r>
    </w:p>
    <w:p>
      <w:r>
        <w:t>关键词搜索：https://www.jiaokey.com/tag/企业法务著作权须知.html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