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空间设计原理</w:t>
      </w:r>
    </w:p>
    <w:p>
      <w:r>
        <w:rPr>
          <w:rFonts w:ascii="宋体" w:hAnsi="宋体" w:eastAsia="宋体"/>
          <w:sz w:val="24"/>
        </w:rPr>
        <w:t>魏勇，李中华主编；李晶涛，唐文，金永日，张茜，黄兵，吴晓红，邵照波副主编；尹继鸣总主编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魏勇，李中华主编；李晶涛，唐文，金永日，张茜，黄兵，吴晓红，邵照波副主编；尹继鸣总主编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本书出售、求购地址：https://www.jiaokey.com/book/detail/13742515.html</w:t>
      </w:r>
    </w:p>
    <w:p>
      <w:r>
        <w:t>更多相关图书推荐：https://www.jiaokey.com</w:t>
      </w:r>
    </w:p>
    <w:p>
      <w:r>
        <w:t>魏勇，李中华主编；李晶涛，唐文，金永日，张茜，黄兵，吴晓红，邵照波副主编；尹继鸣总主编 其他作品：https://www.jiaokey.com/tag/魏勇，李中华主编；李晶涛，唐文，金永日，张茜，黄兵，吴晓红，邵照波副主编；尹继鸣总主编.html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关键词搜索：https://www.jiaokey.com/tag/空间设计原理.html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