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专门学校办学引论</w:t>
      </w:r>
    </w:p>
    <w:p>
      <w:r>
        <w:rPr>
          <w:rFonts w:ascii="宋体" w:hAnsi="宋体" w:eastAsia="宋体"/>
          <w:sz w:val="24"/>
        </w:rPr>
        <w:t>邢成玉，郭东晓，韩静主编；赵晓东，李晓华，渠泓副主编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专门学校办学引论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邢成玉，郭东晓，韩静主编；赵晓东，李晓华，渠泓副主编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本书出售、求购地址：https://www.jiaokey.com/book/detail/13741710.html</w:t>
      </w:r>
    </w:p>
    <w:p>
      <w:r>
        <w:t>更多相关图书推荐：https://www.jiaokey.com</w:t>
      </w:r>
    </w:p>
    <w:p>
      <w:r>
        <w:t>邢成玉，郭东晓，韩静主编；赵晓东，李晓华，渠泓副主编 其他作品：https://www.jiaokey.com/tag/邢成玉，郭东晓，韩静主编；赵晓东，李晓华，渠泓副主编.html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关键词搜索：https://www.jiaokey.com/tag/专门学校办学引论.html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