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史进  《水浒》人物</w:t>
      </w:r>
    </w:p>
    <w:p>
      <w:r>
        <w:rPr>
          <w:rFonts w:ascii="宋体" w:hAnsi="宋体" w:eastAsia="宋体"/>
          <w:sz w:val="24"/>
        </w:rPr>
        <w:t>朱孝达编文；吴井田绘画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史进  《水浒》人物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朱孝达编文；吴井田绘画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本书出售、求购地址：https://www.jiaokey.com/book/detail/13741369.html</w:t>
      </w:r>
    </w:p>
    <w:p>
      <w:r>
        <w:t>更多相关图书推荐：https://www.jiaokey.com</w:t>
      </w:r>
    </w:p>
    <w:p>
      <w:r>
        <w:t>朱孝达编文；吴井田绘画 其他作品：https://www.jiaokey.com/tag/朱孝达编文；吴井田绘画.html</w:t>
      </w:r>
    </w:p>
    <w:p>
      <w:r>
        <w:t>吉林省人民出版社 出版图书：https://www.jiaokey.com/tag/吉林省人民出版社.html</w:t>
      </w:r>
    </w:p>
    <w:p>
      <w:r>
        <w:t>关键词搜索：https://www.jiaokey.com/tag/史进  《水浒》人物.html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