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上</w:t>
      </w:r>
    </w:p>
    <w:p>
      <w:r>
        <w:rPr>
          <w:rFonts w:ascii="宋体" w:hAnsi="宋体" w:eastAsia="宋体"/>
          <w:sz w:val="24"/>
        </w:rPr>
        <w:t>浙江大学画法几何及机械制图考研组编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浙江大学画法几何及机械制图考研组编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本书出售、求购地址：https://www.jiaokey.com/book/detail/13738998.html</w:t>
      </w:r>
    </w:p>
    <w:p>
      <w:r>
        <w:t>更多相关图书推荐：https://www.jiaokey.com</w:t>
      </w:r>
    </w:p>
    <w:p>
      <w:r>
        <w:t>浙江大学画法几何及机械制图考研组编 其他作品：https://www.jiaokey.com/tag/浙江大学画法几何及机械制图考研组编.html</w:t>
      </w:r>
    </w:p>
    <w:p>
      <w:r>
        <w:t>关键词搜索：https://www.jiaokey.com/tag/画法几何及机械制图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