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两难之境：艺术与经济的利害关系</w:t>
      </w:r>
    </w:p>
    <w:p>
      <w:r>
        <w:rPr>
          <w:rFonts w:ascii="宋体" w:hAnsi="宋体" w:eastAsia="宋体"/>
          <w:sz w:val="24"/>
        </w:rPr>
        <w:t>（澳）尼尔·德·马奇Neil De Marchi，（美）克劳福德·古德温Craufurd D·Goodwin编；王晓丹译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两难之境：艺术与经济的利害关系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（澳）尼尔·德·马奇Neil De Marchi，（美）克劳福德·古德温Craufurd D·Goodwin编；王晓丹译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本书出售、求购地址：https://www.jiaokey.com/book/detail/13735898.html</w:t>
      </w:r>
    </w:p>
    <w:p>
      <w:r>
        <w:t>更多相关图书推荐：https://www.jiaokey.com</w:t>
      </w:r>
    </w:p>
    <w:p>
      <w:r>
        <w:t>（澳）尼尔·德·马奇Neil De Marchi，（美）克劳福德·古德温Craufurd D·Goodwin编；王晓丹译 其他作品：https://www.jiaokey.com/tag/（澳）尼尔·德·马奇Neil De Marchi，（美）克劳福德·古德温Craufurd D·Goodwin编；王晓丹译.html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关键词搜索：https://www.jiaokey.com/tag/两难之境：艺术与经济的利害关系.html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